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r>
        <w:rPr>
          <w:rFonts w:hint="eastAsia" w:ascii="方正小标宋简体" w:hAnsi="宋体" w:eastAsia="方正小标宋简体"/>
          <w:color w:val="FF3300"/>
          <w:sz w:val="96"/>
          <w:szCs w:val="32"/>
        </w:rPr>
        <w:t>托克逊县财政局文件</w:t>
      </w: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托财社〔202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30</w:t>
      </w:r>
      <w:r>
        <w:rPr>
          <w:rFonts w:hint="eastAsia" w:ascii="仿宋_GB2312" w:hAnsi="仿宋_GB2312" w:eastAsia="仿宋_GB2312" w:cs="仿宋_GB2312"/>
          <w:sz w:val="32"/>
        </w:rPr>
        <w:t xml:space="preserve">号                 </w:t>
      </w:r>
    </w:p>
    <w:p>
      <w:pPr>
        <w:spacing w:line="600" w:lineRule="exact"/>
        <w:jc w:val="center"/>
        <w:rPr>
          <w:rFonts w:hint="eastAsia" w:ascii="方正小标宋_GBK" w:eastAsia="方正小标宋_GBK"/>
          <w:sz w:val="44"/>
          <w:szCs w:val="40"/>
          <w:lang w:val="en-US" w:eastAsia="zh-CN"/>
        </w:rPr>
      </w:pPr>
      <w:r>
        <w:rPr>
          <w:rFonts w:hint="eastAsia" w:ascii="仿宋_GB2312" w:hAnsi="仿宋_GB2312" w:eastAsia="仿宋_GB2312" w:cs="仿宋_GB2312"/>
          <w:color w:val="FF5050"/>
          <w:sz w:val="32"/>
        </w:rPr>
        <w:t>━━━━━━━━━━━━━━━━━━━━━━━━━━━</w:t>
      </w:r>
      <w:r>
        <w:rPr>
          <w:rFonts w:hint="eastAsia" w:ascii="仿宋_GB2312" w:hAnsi="仿宋_GB2312" w:eastAsia="仿宋_GB2312" w:cs="仿宋_GB2312"/>
          <w:b/>
          <w:color w:val="000000"/>
          <w:sz w:val="44"/>
          <w:szCs w:val="44"/>
        </w:rPr>
        <w:t xml:space="preserve">  </w:t>
      </w:r>
      <w:r>
        <w:rPr>
          <w:rFonts w:hint="eastAsia" w:ascii="方正小标宋_GBK" w:eastAsia="方正小标宋_GBK"/>
          <w:sz w:val="44"/>
          <w:szCs w:val="40"/>
          <w:lang w:val="en-US" w:eastAsia="zh-CN"/>
        </w:rPr>
        <w:t xml:space="preserve"> </w:t>
      </w:r>
    </w:p>
    <w:p>
      <w:pPr>
        <w:spacing w:before="0" w:beforeLines="0" w:line="640" w:lineRule="exact"/>
        <w:ind w:firstLine="0" w:firstLineChars="0"/>
        <w:jc w:val="center"/>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关于下达202</w:t>
      </w:r>
      <w:r>
        <w:rPr>
          <w:rFonts w:hint="eastAsia" w:ascii="方正小标宋简体" w:hAnsi="方正小标宋简体" w:eastAsia="方正小标宋简体" w:cs="方正小标宋简体"/>
          <w:spacing w:val="0"/>
          <w:sz w:val="44"/>
          <w:szCs w:val="44"/>
          <w:lang w:val="en-US" w:eastAsia="zh-CN"/>
        </w:rPr>
        <w:t>5</w:t>
      </w:r>
      <w:r>
        <w:rPr>
          <w:rFonts w:hint="eastAsia" w:ascii="方正小标宋简体" w:hAnsi="方正小标宋简体" w:eastAsia="方正小标宋简体" w:cs="方正小标宋简体"/>
          <w:spacing w:val="0"/>
          <w:sz w:val="44"/>
          <w:szCs w:val="44"/>
          <w:lang w:eastAsia="zh-CN"/>
        </w:rPr>
        <w:t>年中央医疗服务与保障能力提升（医疗保障服务能力建设部分）补助资金</w:t>
      </w:r>
    </w:p>
    <w:p>
      <w:pPr>
        <w:spacing w:before="0" w:beforeLines="0" w:line="640" w:lineRule="exact"/>
        <w:ind w:firstLine="0" w:firstLineChars="0"/>
        <w:jc w:val="center"/>
        <w:rPr>
          <w:rFonts w:hint="eastAsia" w:ascii="方正小标宋简体" w:hAnsi="方正小标宋简体" w:eastAsia="方正小标宋简体" w:cs="方正小标宋简体"/>
          <w:vanish w:val="0"/>
          <w:spacing w:val="-11"/>
          <w:sz w:val="44"/>
          <w:szCs w:val="44"/>
        </w:rPr>
      </w:pPr>
      <w:r>
        <w:rPr>
          <w:rFonts w:hint="eastAsia" w:ascii="方正小标宋简体" w:hAnsi="方正小标宋简体" w:eastAsia="方正小标宋简体" w:cs="方正小标宋简体"/>
          <w:spacing w:val="0"/>
          <w:sz w:val="44"/>
          <w:szCs w:val="44"/>
          <w:lang w:eastAsia="zh-CN"/>
        </w:rPr>
        <w:t>预算的</w:t>
      </w:r>
      <w:r>
        <w:rPr>
          <w:rFonts w:hint="eastAsia" w:ascii="方正小标宋简体" w:hAnsi="方正小标宋简体" w:eastAsia="方正小标宋简体" w:cs="方正小标宋简体"/>
          <w:vanish w:val="0"/>
          <w:spacing w:val="0"/>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pacing w:val="-6"/>
          <w:sz w:val="32"/>
          <w:szCs w:val="32"/>
        </w:rPr>
      </w:pPr>
      <w:r>
        <w:rPr>
          <w:rFonts w:hint="eastAsia" w:ascii="仿宋_GB2312" w:eastAsia="仿宋_GB2312"/>
          <w:spacing w:val="-6"/>
          <w:sz w:val="32"/>
          <w:szCs w:val="32"/>
        </w:rPr>
        <w:t>县</w:t>
      </w:r>
      <w:r>
        <w:rPr>
          <w:rFonts w:hint="eastAsia" w:ascii="仿宋_GB2312" w:eastAsia="仿宋_GB2312"/>
          <w:spacing w:val="-6"/>
          <w:sz w:val="32"/>
          <w:szCs w:val="32"/>
          <w:lang w:val="en-US" w:eastAsia="zh-CN"/>
        </w:rPr>
        <w:t>医疗保障局</w:t>
      </w:r>
      <w:r>
        <w:rPr>
          <w:rFonts w:hint="eastAsia" w:ascii="仿宋_GB2312" w:eastAsia="仿宋_GB2312"/>
          <w:spacing w:val="-6"/>
          <w:sz w:val="32"/>
          <w:szCs w:val="32"/>
        </w:rPr>
        <w:t>：</w:t>
      </w:r>
    </w:p>
    <w:p>
      <w:pPr>
        <w:spacing w:line="580" w:lineRule="exact"/>
        <w:jc w:val="left"/>
        <w:rPr>
          <w:rFonts w:hint="eastAsia" w:ascii="仿宋_GB2312" w:eastAsia="仿宋_GB2312" w:cs="仿宋_GB2312"/>
          <w:spacing w:val="0"/>
          <w:kern w:val="2"/>
          <w:sz w:val="32"/>
          <w:szCs w:val="32"/>
        </w:rPr>
      </w:pPr>
      <w:r>
        <w:rPr>
          <w:rFonts w:hint="eastAsia" w:ascii="仿宋_GB2312" w:hAnsi="仿宋_GB2312" w:eastAsia="仿宋_GB2312" w:cs="仿宋_GB2312"/>
          <w:sz w:val="32"/>
          <w:szCs w:val="32"/>
          <w:lang w:val="en-US" w:eastAsia="zh-CN"/>
        </w:rPr>
        <w:t xml:space="preserve">     根据自治区财政厅、医疗保障局</w:t>
      </w:r>
      <w:r>
        <w:rPr>
          <w:rFonts w:hint="eastAsia" w:ascii="仿宋_GB2312" w:eastAsia="仿宋_GB2312"/>
          <w:vanish w:val="0"/>
          <w:spacing w:val="0"/>
          <w:sz w:val="32"/>
          <w:szCs w:val="32"/>
          <w:lang w:val="en-US" w:eastAsia="zh-CN"/>
        </w:rPr>
        <w:t>《关于下达2025年中央医疗服务与保障能力提升（医疗保障服务能力建设部分）补助资金预算的通知》（</w:t>
      </w:r>
      <w:r>
        <w:rPr>
          <w:rFonts w:hint="eastAsia" w:ascii="仿宋_GB2312" w:eastAsia="仿宋_GB2312"/>
          <w:vanish w:val="0"/>
          <w:sz w:val="32"/>
          <w:szCs w:val="32"/>
          <w:lang w:val="en-US" w:eastAsia="zh-CN"/>
        </w:rPr>
        <w:t>吐市</w:t>
      </w:r>
      <w:r>
        <w:rPr>
          <w:rFonts w:hint="default" w:ascii="仿宋_GB2312" w:eastAsia="仿宋_GB2312"/>
          <w:vanish w:val="0"/>
          <w:sz w:val="32"/>
          <w:szCs w:val="32"/>
          <w:lang w:eastAsia="zh-CN"/>
        </w:rPr>
        <w:t>财社〔</w:t>
      </w:r>
      <w:r>
        <w:rPr>
          <w:rFonts w:hint="eastAsia" w:ascii="仿宋_GB2312" w:eastAsia="仿宋_GB2312"/>
          <w:vanish w:val="0"/>
          <w:sz w:val="32"/>
          <w:szCs w:val="32"/>
          <w:lang w:eastAsia="zh-CN"/>
        </w:rPr>
        <w:t>202</w:t>
      </w:r>
      <w:r>
        <w:rPr>
          <w:rFonts w:hint="eastAsia" w:ascii="仿宋_GB2312" w:eastAsia="仿宋_GB2312"/>
          <w:vanish w:val="0"/>
          <w:sz w:val="32"/>
          <w:szCs w:val="32"/>
          <w:lang w:val="en-US" w:eastAsia="zh-CN"/>
        </w:rPr>
        <w:t>5</w:t>
      </w:r>
      <w:r>
        <w:rPr>
          <w:rFonts w:hint="default" w:ascii="仿宋_GB2312" w:eastAsia="仿宋_GB2312"/>
          <w:vanish w:val="0"/>
          <w:sz w:val="32"/>
          <w:szCs w:val="32"/>
          <w:lang w:eastAsia="zh-CN"/>
        </w:rPr>
        <w:t>〕</w:t>
      </w:r>
      <w:r>
        <w:rPr>
          <w:rFonts w:hint="eastAsia" w:ascii="仿宋_GB2312" w:eastAsia="仿宋_GB2312"/>
          <w:vanish w:val="0"/>
          <w:sz w:val="32"/>
          <w:szCs w:val="32"/>
          <w:lang w:val="en-US" w:eastAsia="zh-CN"/>
        </w:rPr>
        <w:t>19</w:t>
      </w:r>
      <w:r>
        <w:rPr>
          <w:rFonts w:hint="default" w:ascii="仿宋_GB2312" w:eastAsia="仿宋_GB2312"/>
          <w:vanish w:val="0"/>
          <w:sz w:val="32"/>
          <w:szCs w:val="32"/>
          <w:lang w:eastAsia="zh-CN"/>
        </w:rPr>
        <w:t>号</w:t>
      </w:r>
      <w:r>
        <w:rPr>
          <w:rFonts w:hint="eastAsia" w:ascii="仿宋_GB2312" w:hAnsi="仿宋_GB2312" w:eastAsia="仿宋_GB2312" w:cs="仿宋_GB2312"/>
          <w:vanish w:val="0"/>
          <w:spacing w:val="0"/>
          <w:sz w:val="32"/>
          <w:szCs w:val="32"/>
          <w:lang w:val="en-US" w:eastAsia="zh-CN"/>
        </w:rPr>
        <w:t>）文件，</w:t>
      </w:r>
      <w:r>
        <w:rPr>
          <w:rFonts w:hint="eastAsia" w:ascii="仿宋_GB2312" w:eastAsia="仿宋_GB2312"/>
          <w:vanish w:val="0"/>
          <w:spacing w:val="0"/>
          <w:sz w:val="32"/>
          <w:szCs w:val="32"/>
          <w:lang w:val="en-US" w:eastAsia="zh-CN"/>
        </w:rPr>
        <w:t>现下达你单位</w:t>
      </w:r>
      <w:r>
        <w:rPr>
          <w:rFonts w:hint="eastAsia" w:ascii="Times New Roman" w:hAnsi="Times New Roman" w:eastAsia="仿宋_GB2312" w:cs="Times New Roman"/>
          <w:spacing w:val="0"/>
          <w:sz w:val="32"/>
          <w:szCs w:val="32"/>
        </w:rPr>
        <w:t>202</w:t>
      </w:r>
      <w:r>
        <w:rPr>
          <w:rFonts w:hint="eastAsia"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eastAsia="zh-CN"/>
        </w:rPr>
        <w:t>中央医疗服务与保障能力提升（</w:t>
      </w:r>
      <w:r>
        <w:rPr>
          <w:rFonts w:hint="eastAsia" w:ascii="仿宋_GB2312" w:eastAsia="仿宋_GB2312"/>
          <w:vanish w:val="0"/>
          <w:spacing w:val="0"/>
          <w:sz w:val="32"/>
          <w:szCs w:val="32"/>
          <w:lang w:val="en-US" w:eastAsia="zh-CN"/>
        </w:rPr>
        <w:t>医疗保障服务能力建设部分</w:t>
      </w:r>
      <w:r>
        <w:rPr>
          <w:rFonts w:hint="eastAsia" w:ascii="Times New Roman" w:hAnsi="Times New Roman" w:eastAsia="仿宋_GB2312" w:cs="Times New Roman"/>
          <w:spacing w:val="0"/>
          <w:sz w:val="32"/>
          <w:szCs w:val="32"/>
          <w:lang w:eastAsia="zh-CN"/>
        </w:rPr>
        <w:t>）补助</w:t>
      </w:r>
      <w:r>
        <w:rPr>
          <w:rFonts w:hint="eastAsia" w:ascii="Times New Roman" w:hAnsi="Times New Roman" w:eastAsia="仿宋_GB2312" w:cs="Times New Roman"/>
          <w:spacing w:val="0"/>
          <w:sz w:val="32"/>
          <w:szCs w:val="32"/>
        </w:rPr>
        <w:t>资金</w:t>
      </w:r>
      <w:r>
        <w:rPr>
          <w:rFonts w:hint="eastAsia" w:ascii="Times New Roman" w:hAnsi="Times New Roman" w:eastAsia="仿宋_GB2312" w:cs="Times New Roman"/>
          <w:spacing w:val="0"/>
          <w:sz w:val="32"/>
          <w:szCs w:val="32"/>
          <w:lang w:eastAsia="zh-CN"/>
        </w:rPr>
        <w:t>预算指标</w:t>
      </w:r>
      <w:r>
        <w:rPr>
          <w:rFonts w:hint="eastAsia" w:ascii="仿宋_GB2312" w:hAnsi="仿宋_GB2312" w:eastAsia="仿宋_GB2312" w:cs="仿宋_GB2312"/>
          <w:b/>
          <w:bCs/>
          <w:spacing w:val="0"/>
          <w:sz w:val="32"/>
          <w:szCs w:val="32"/>
          <w:lang w:val="en-US" w:eastAsia="zh-CN"/>
        </w:rPr>
        <w:t>10万元</w:t>
      </w:r>
      <w:r>
        <w:rPr>
          <w:rFonts w:hint="eastAsia" w:ascii="Times New Roman" w:hAnsi="Times New Roman" w:eastAsia="仿宋_GB2312" w:cs="Times New Roman"/>
          <w:spacing w:val="0"/>
          <w:sz w:val="32"/>
          <w:szCs w:val="32"/>
          <w:lang w:eastAsia="zh-CN"/>
        </w:rPr>
        <w:t>，</w:t>
      </w:r>
      <w:r>
        <w:rPr>
          <w:rFonts w:hint="eastAsia" w:ascii="仿宋_GB2312" w:eastAsia="仿宋_GB2312"/>
          <w:vanish w:val="0"/>
          <w:spacing w:val="0"/>
          <w:sz w:val="32"/>
          <w:szCs w:val="32"/>
          <w:lang w:val="en-US" w:eastAsia="zh-CN"/>
        </w:rPr>
        <w:t>现将有关事项通知如下：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_GB2312" w:hAnsi="Times New Roman" w:eastAsia="仿宋_GB2312" w:cs="仿宋_GB2312"/>
          <w:spacing w:val="0"/>
          <w:kern w:val="2"/>
          <w:sz w:val="32"/>
          <w:szCs w:val="32"/>
          <w:lang w:val="en-US" w:eastAsia="zh-CN" w:bidi="ar"/>
        </w:rPr>
      </w:pPr>
      <w:r>
        <w:rPr>
          <w:rFonts w:hint="eastAsia" w:ascii="仿宋_GB2312" w:hAnsi="Times New Roman" w:eastAsia="仿宋_GB2312" w:cs="仿宋_GB2312"/>
          <w:spacing w:val="0"/>
          <w:kern w:val="2"/>
          <w:sz w:val="32"/>
          <w:szCs w:val="32"/>
          <w:lang w:val="en-US" w:eastAsia="zh-CN" w:bidi="ar"/>
        </w:rPr>
        <w:t>一、该项补助资金收入列2025年政府收支分类科目“1100249医疗卫生共同财政事权转移支付收入”，支出列“</w:t>
      </w:r>
      <w:r>
        <w:rPr>
          <w:rFonts w:hint="eastAsia" w:ascii="仿宋_GB2312" w:eastAsia="仿宋_GB2312" w:cs="仿宋_GB2312"/>
          <w:spacing w:val="0"/>
          <w:kern w:val="2"/>
          <w:sz w:val="32"/>
          <w:szCs w:val="32"/>
          <w:lang w:val="en-US" w:eastAsia="zh-CN" w:bidi="ar"/>
        </w:rPr>
        <w:t>21015医疗保障管理事务</w:t>
      </w:r>
      <w:r>
        <w:rPr>
          <w:rFonts w:hint="eastAsia" w:ascii="仿宋_GB2312" w:hAnsi="Times New Roman" w:eastAsia="仿宋_GB2312" w:cs="仿宋_GB2312"/>
          <w:spacing w:val="0"/>
          <w:kern w:val="2"/>
          <w:sz w:val="32"/>
          <w:szCs w:val="32"/>
          <w:lang w:val="en-US" w:eastAsia="zh-CN" w:bidi="ar"/>
        </w:rPr>
        <w:t>”相关科目。须根据实际支出方向将功能科目细化到项级科目</w:t>
      </w:r>
      <w:r>
        <w:rPr>
          <w:rFonts w:hint="eastAsia" w:ascii="仿宋_GB2312" w:eastAsia="仿宋_GB2312" w:cs="仿宋_GB2312"/>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cs="仿宋_GB2312"/>
          <w:spacing w:val="0"/>
          <w:kern w:val="2"/>
          <w:sz w:val="32"/>
          <w:szCs w:val="32"/>
          <w:lang w:val="en-US" w:eastAsia="zh-CN" w:bidi="ar"/>
        </w:rPr>
        <w:t>二</w:t>
      </w:r>
      <w:r>
        <w:rPr>
          <w:rFonts w:hint="eastAsia" w:ascii="仿宋_GB2312" w:hAnsi="Times New Roman" w:eastAsia="仿宋_GB2312" w:cs="仿宋_GB2312"/>
          <w:spacing w:val="0"/>
          <w:kern w:val="2"/>
          <w:sz w:val="32"/>
          <w:szCs w:val="32"/>
          <w:lang w:val="en-US" w:eastAsia="zh-CN" w:bidi="ar"/>
        </w:rPr>
        <w:t>、</w:t>
      </w:r>
      <w:r>
        <w:rPr>
          <w:rFonts w:hint="eastAsia" w:ascii="仿宋_GB2312" w:eastAsia="仿宋_GB2312"/>
          <w:sz w:val="32"/>
          <w:szCs w:val="32"/>
          <w:lang w:val="en-US" w:eastAsia="zh-CN"/>
        </w:rPr>
        <w:t>此次下达的一般公共预算补助资金列入转移支付预算执行常态化监督范围，财政部门要在预算管理一体化系统及时接收登录预算指标，并保持“追踪”标识不变，依托预算管理一体化系统转移支付监控模块，加强日常监督，提高转移支付资金管理使用的规范性和有效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320" w:firstLineChars="100"/>
        <w:jc w:val="both"/>
        <w:textAlignment w:val="auto"/>
        <w:rPr>
          <w:rFonts w:hint="default" w:ascii="仿宋_GB2312" w:hAnsi="Times New Roman" w:eastAsia="仿宋_GB2312" w:cs="仿宋_GB2312"/>
          <w:spacing w:val="0"/>
          <w:kern w:val="2"/>
          <w:sz w:val="32"/>
          <w:szCs w:val="32"/>
          <w:lang w:val="en-US" w:eastAsia="zh-CN" w:bidi="ar"/>
        </w:rPr>
      </w:pPr>
      <w:r>
        <w:rPr>
          <w:rFonts w:hint="eastAsia" w:ascii="仿宋_GB2312" w:eastAsia="仿宋_GB2312"/>
          <w:sz w:val="32"/>
          <w:szCs w:val="32"/>
          <w:lang w:val="en-US" w:eastAsia="zh-CN"/>
        </w:rPr>
        <w:t xml:space="preserve"> </w:t>
      </w:r>
      <w:r>
        <w:rPr>
          <w:rFonts w:hint="eastAsia" w:ascii="仿宋_GB2312" w:hAnsi="Times New Roman" w:eastAsia="仿宋_GB2312" w:cs="仿宋_GB2312"/>
          <w:spacing w:val="0"/>
          <w:kern w:val="2"/>
          <w:sz w:val="32"/>
          <w:szCs w:val="32"/>
          <w:lang w:val="en-US" w:eastAsia="zh-CN" w:bidi="ar"/>
        </w:rPr>
        <w:t xml:space="preserve"> 三、</w:t>
      </w:r>
      <w:r>
        <w:rPr>
          <w:rFonts w:hint="eastAsia" w:ascii="仿宋_GB2312" w:eastAsia="仿宋_GB2312" w:cs="仿宋_GB2312"/>
          <w:spacing w:val="0"/>
          <w:kern w:val="2"/>
          <w:sz w:val="32"/>
          <w:szCs w:val="32"/>
          <w:lang w:val="en-US" w:eastAsia="zh-CN" w:bidi="ar"/>
        </w:rPr>
        <w:t>你单位要认真落实《财政部办公厅  国家医保局办公室关于切实做好医疗服务与保障能力提升补助资金（医疗保障服务能力建设部分）预算执行管理工作的通知》（财办社</w:t>
      </w:r>
      <w:r>
        <w:rPr>
          <w:rFonts w:hint="default" w:ascii="仿宋_GB2312" w:eastAsia="仿宋_GB2312"/>
          <w:vanish w:val="0"/>
          <w:sz w:val="32"/>
          <w:szCs w:val="32"/>
          <w:lang w:eastAsia="zh-CN"/>
        </w:rPr>
        <w:t>〔</w:t>
      </w:r>
      <w:r>
        <w:rPr>
          <w:rFonts w:hint="eastAsia" w:ascii="仿宋_GB2312" w:eastAsia="仿宋_GB2312"/>
          <w:vanish w:val="0"/>
          <w:sz w:val="32"/>
          <w:szCs w:val="32"/>
          <w:lang w:eastAsia="zh-CN"/>
        </w:rPr>
        <w:t>202</w:t>
      </w:r>
      <w:r>
        <w:rPr>
          <w:rFonts w:hint="eastAsia" w:ascii="仿宋_GB2312" w:eastAsia="仿宋_GB2312"/>
          <w:vanish w:val="0"/>
          <w:sz w:val="32"/>
          <w:szCs w:val="32"/>
          <w:lang w:val="en-US" w:eastAsia="zh-CN"/>
        </w:rPr>
        <w:t>2</w:t>
      </w:r>
      <w:r>
        <w:rPr>
          <w:rFonts w:hint="default" w:ascii="仿宋_GB2312" w:eastAsia="仿宋_GB2312"/>
          <w:vanish w:val="0"/>
          <w:sz w:val="32"/>
          <w:szCs w:val="32"/>
          <w:lang w:eastAsia="zh-CN"/>
        </w:rPr>
        <w:t>〕</w:t>
      </w:r>
      <w:r>
        <w:rPr>
          <w:rFonts w:hint="eastAsia" w:ascii="仿宋_GB2312" w:eastAsia="仿宋_GB2312"/>
          <w:vanish w:val="0"/>
          <w:sz w:val="32"/>
          <w:szCs w:val="32"/>
          <w:lang w:val="en-US" w:eastAsia="zh-CN"/>
        </w:rPr>
        <w:t>47</w:t>
      </w:r>
      <w:r>
        <w:rPr>
          <w:rFonts w:hint="default" w:ascii="仿宋_GB2312" w:eastAsia="仿宋_GB2312"/>
          <w:vanish w:val="0"/>
          <w:sz w:val="32"/>
          <w:szCs w:val="32"/>
          <w:lang w:eastAsia="zh-CN"/>
        </w:rPr>
        <w:t>号</w:t>
      </w:r>
      <w:r>
        <w:rPr>
          <w:rFonts w:hint="eastAsia" w:ascii="仿宋_GB2312" w:eastAsia="仿宋_GB2312"/>
          <w:vanish w:val="0"/>
          <w:sz w:val="32"/>
          <w:szCs w:val="32"/>
          <w:lang w:eastAsia="zh-CN"/>
        </w:rPr>
        <w:t>）</w:t>
      </w:r>
      <w:r>
        <w:rPr>
          <w:rFonts w:hint="eastAsia" w:ascii="仿宋_GB2312" w:eastAsia="仿宋_GB2312"/>
          <w:vanish w:val="0"/>
          <w:sz w:val="32"/>
          <w:szCs w:val="32"/>
          <w:lang w:val="en-US" w:eastAsia="zh-CN"/>
        </w:rPr>
        <w:t>有关要求，坚持加快预算执行进度与保障资金规范使用并重，既要高度重视预算执行工作，也要防止虚列支出、超范围使用资金等各种违法违规和不讲究效益的“突出花钱”行为。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40" w:firstLineChars="200"/>
        <w:jc w:val="both"/>
        <w:textAlignment w:val="auto"/>
        <w:rPr>
          <w:rFonts w:hint="eastAsia" w:ascii="仿宋_GB2312"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四、请你单位按照全面实施绩效管理的要求，完善绩效目标管理，做好绩效运行监控和绩效评价，确保财政资金安全有效</w:t>
      </w:r>
      <w:r>
        <w:rPr>
          <w:rFonts w:hint="eastAsia" w:ascii="仿宋_GB2312" w:hAnsi="Times New Roman" w:eastAsia="仿宋_GB2312" w:cs="仿宋_GB2312"/>
          <w:spacing w:val="-6"/>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0" w:firstLineChars="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   </w:t>
      </w: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320" w:firstLineChars="100"/>
        <w:jc w:val="both"/>
        <w:textAlignment w:val="auto"/>
        <w:rPr>
          <w:rFonts w:hint="eastAsia" w:ascii="仿宋_GB2312" w:hAnsi="仿宋_GB2312" w:eastAsia="仿宋_GB2312" w:cs="仿宋_GB2312"/>
          <w:vanish w:val="0"/>
          <w:sz w:val="32"/>
          <w:szCs w:val="32"/>
          <w:lang w:val="en-US" w:eastAsia="zh-CN"/>
        </w:rPr>
      </w:pPr>
      <w:r>
        <w:rPr>
          <w:rFonts w:hint="eastAsia" w:ascii="仿宋_GB2312" w:hAnsi="Times New Roman" w:eastAsia="仿宋_GB2312" w:cs="仿宋_GB2312"/>
          <w:kern w:val="2"/>
          <w:sz w:val="32"/>
          <w:szCs w:val="32"/>
          <w:lang w:val="en-US" w:eastAsia="zh-CN" w:bidi="ar"/>
        </w:rPr>
        <w:t xml:space="preserve">  </w:t>
      </w:r>
      <w:r>
        <w:rPr>
          <w:rFonts w:hint="eastAsia" w:ascii="仿宋_GB2312" w:hAnsi="仿宋_GB2312" w:eastAsia="仿宋_GB2312" w:cs="仿宋_GB2312"/>
          <w:vanish w:val="0"/>
          <w:sz w:val="32"/>
          <w:szCs w:val="32"/>
          <w:lang w:val="en-US" w:eastAsia="zh-CN"/>
        </w:rPr>
        <w:t>附件：1.关于</w:t>
      </w:r>
      <w:r>
        <w:rPr>
          <w:rFonts w:hint="default" w:ascii="Times New Roman" w:hAnsi="Times New Roman" w:eastAsia="仿宋_GB2312" w:cs="Times New Roman"/>
          <w:b w:val="0"/>
          <w:bCs/>
          <w:kern w:val="2"/>
          <w:sz w:val="32"/>
          <w:szCs w:val="32"/>
          <w:lang w:val="en-US" w:eastAsia="zh-CN" w:bidi="ar"/>
        </w:rPr>
        <w:t>下达2025年中央医疗服务与保障能力提升（</w:t>
      </w:r>
      <w:r>
        <w:rPr>
          <w:rFonts w:hint="eastAsia" w:ascii="Times New Roman" w:hAnsi="Times New Roman" w:eastAsia="仿宋_GB2312" w:cs="Times New Roman"/>
          <w:b w:val="0"/>
          <w:bCs/>
          <w:kern w:val="2"/>
          <w:sz w:val="32"/>
          <w:szCs w:val="32"/>
          <w:lang w:val="en-US" w:eastAsia="zh-CN" w:bidi="ar"/>
        </w:rPr>
        <w:t>医疗保障服务能力建设部分</w:t>
      </w:r>
      <w:r>
        <w:rPr>
          <w:rFonts w:hint="default" w:ascii="Times New Roman" w:hAnsi="Times New Roman" w:eastAsia="仿宋_GB2312" w:cs="Times New Roman"/>
          <w:b w:val="0"/>
          <w:bCs/>
          <w:kern w:val="2"/>
          <w:sz w:val="32"/>
          <w:szCs w:val="32"/>
          <w:lang w:val="en-US" w:eastAsia="zh-CN" w:bidi="ar"/>
        </w:rPr>
        <w:t>）补助资金分配表</w:t>
      </w:r>
      <w:r>
        <w:rPr>
          <w:rFonts w:hint="eastAsia" w:ascii="仿宋_GB2312" w:hAnsi="仿宋_GB2312" w:eastAsia="仿宋_GB2312" w:cs="仿宋_GB2312"/>
          <w:vanish w:val="0"/>
          <w:sz w:val="32"/>
          <w:szCs w:val="32"/>
          <w:lang w:val="en-US" w:eastAsia="zh-CN"/>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leftChars="0" w:right="0" w:firstLine="320" w:firstLineChars="100"/>
        <w:jc w:val="both"/>
        <w:textAlignment w:val="auto"/>
        <w:rPr>
          <w:rFonts w:hint="eastAsia" w:ascii="仿宋_GB2312" w:hAnsi="仿宋_GB2312" w:eastAsia="仿宋_GB2312" w:cs="仿宋_GB2312"/>
          <w:vanish w:val="0"/>
          <w:sz w:val="32"/>
          <w:szCs w:val="32"/>
        </w:rPr>
      </w:pPr>
      <w:r>
        <w:rPr>
          <w:rFonts w:hint="eastAsia" w:ascii="仿宋_GB2312" w:hAnsi="仿宋_GB2312" w:eastAsia="仿宋_GB2312" w:cs="仿宋_GB2312"/>
          <w:vanish w:val="0"/>
          <w:sz w:val="32"/>
          <w:szCs w:val="32"/>
          <w:lang w:val="en-US" w:eastAsia="zh-CN"/>
        </w:rPr>
        <w:t xml:space="preserve">       2.项目支出绩效目标表    </w:t>
      </w:r>
    </w:p>
    <w:p>
      <w:pPr>
        <w:pStyle w:val="13"/>
        <w:spacing w:line="600" w:lineRule="exact"/>
        <w:ind w:left="0" w:leftChars="0" w:firstLine="0" w:firstLineChars="0"/>
        <w:rPr>
          <w:rFonts w:hint="eastAsia" w:ascii="仿宋_GB2312"/>
          <w:szCs w:val="32"/>
        </w:rPr>
      </w:pPr>
    </w:p>
    <w:p>
      <w:pPr>
        <w:pStyle w:val="13"/>
        <w:spacing w:line="600" w:lineRule="exact"/>
        <w:ind w:firstLine="4800" w:firstLineChars="1500"/>
        <w:rPr>
          <w:rFonts w:ascii="仿宋_GB2312"/>
          <w:szCs w:val="32"/>
        </w:rPr>
      </w:pPr>
      <w:r>
        <w:rPr>
          <w:rFonts w:hint="eastAsia" w:ascii="仿宋_GB2312"/>
          <w:szCs w:val="32"/>
        </w:rPr>
        <w:t xml:space="preserve"> </w:t>
      </w:r>
      <w:r>
        <w:rPr>
          <w:rFonts w:hint="eastAsia" w:ascii="仿宋_GB2312"/>
          <w:szCs w:val="32"/>
          <w:lang w:eastAsia="zh-CN"/>
        </w:rPr>
        <w:t>托克逊县</w:t>
      </w:r>
      <w:r>
        <w:rPr>
          <w:rFonts w:hint="eastAsia" w:ascii="仿宋_GB2312"/>
          <w:szCs w:val="32"/>
          <w:lang w:val="en-US" w:eastAsia="zh-CN"/>
        </w:rPr>
        <w:t>人民政府</w:t>
      </w:r>
      <w:r>
        <w:rPr>
          <w:rFonts w:hint="eastAsia" w:ascii="仿宋_GB2312"/>
          <w:szCs w:val="32"/>
        </w:rPr>
        <w:t>财政局</w:t>
      </w:r>
    </w:p>
    <w:p>
      <w:pPr>
        <w:spacing w:line="600" w:lineRule="exact"/>
        <w:ind w:firstLine="5440" w:firstLineChars="1700"/>
        <w:rPr>
          <w:rFonts w:hint="default" w:ascii="仿宋_GB2312" w:hAnsi="仿宋_GB2312" w:eastAsia="仿宋_GB2312" w:cs="仿宋_GB2312"/>
          <w:sz w:val="32"/>
          <w:szCs w:val="32"/>
          <w:lang w:val="en-US"/>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21日</w:t>
      </w:r>
    </w:p>
    <w:p>
      <w:pPr>
        <w:pStyle w:val="10"/>
        <w:rPr>
          <w:rFonts w:hint="eastAsia"/>
          <w:lang w:val="en-US" w:eastAsia="zh-CN"/>
        </w:rPr>
      </w:pPr>
    </w:p>
    <w:sectPr>
      <w:footerReference r:id="rId3" w:type="default"/>
      <w:footerReference r:id="rId4" w:type="even"/>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691" w:y="12"/>
      <w:jc w:val="right"/>
      <w:rPr>
        <w:rStyle w:val="9"/>
        <w:rFonts w:ascii="宋体" w:hAnsi="宋体" w:eastAsia="宋体"/>
        <w:sz w:val="28"/>
      </w:rPr>
    </w:pPr>
    <w:r>
      <w:rPr>
        <w:rStyle w:val="9"/>
        <w:rFonts w:ascii="宋体" w:hAnsi="宋体" w:eastAsia="宋体"/>
        <w:sz w:val="28"/>
      </w:rPr>
      <w:fldChar w:fldCharType="begin"/>
    </w:r>
    <w:r>
      <w:rPr>
        <w:rStyle w:val="9"/>
        <w:rFonts w:ascii="宋体" w:hAnsi="宋体" w:eastAsia="宋体"/>
        <w:sz w:val="28"/>
      </w:rPr>
      <w:instrText xml:space="preserve"> PAGE </w:instrText>
    </w:r>
    <w:r>
      <w:rPr>
        <w:rStyle w:val="9"/>
        <w:rFonts w:ascii="宋体" w:hAnsi="宋体" w:eastAsia="宋体"/>
        <w:sz w:val="28"/>
      </w:rPr>
      <w:fldChar w:fldCharType="separate"/>
    </w:r>
    <w:r>
      <w:rPr>
        <w:rStyle w:val="9"/>
        <w:rFonts w:ascii="宋体" w:hAnsi="宋体" w:eastAsia="宋体"/>
        <w:sz w:val="28"/>
      </w:rPr>
      <w:t>1</w:t>
    </w:r>
    <w:r>
      <w:rPr>
        <w:rStyle w:val="9"/>
        <w:rFonts w:ascii="宋体" w:hAnsi="宋体" w:eastAsia="宋体"/>
        <w:sz w:val="28"/>
      </w:rPr>
      <w:fldChar w:fldCharType="end"/>
    </w:r>
    <w:r>
      <w:rPr>
        <w:rStyle w:val="9"/>
        <w:rFonts w:hint="eastAsia" w:ascii="宋体" w:hAnsi="宋体" w:eastAsia="宋体"/>
        <w:sz w:val="28"/>
      </w:rPr>
      <w:t xml:space="preserve"> </w:t>
    </w:r>
  </w:p>
  <w:p>
    <w:pPr>
      <w:pStyle w:val="3"/>
      <w:wordWrap w:val="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531" w:y="42"/>
      <w:rPr>
        <w:rStyle w:val="9"/>
        <w:rFonts w:ascii="宋体" w:hAnsi="宋体" w:eastAsia="宋体"/>
        <w:sz w:val="28"/>
        <w:szCs w:val="28"/>
      </w:rPr>
    </w:pP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- 2 -</w:t>
    </w:r>
    <w:r>
      <w:rPr>
        <w:rStyle w:val="9"/>
        <w:rFonts w:ascii="宋体" w:hAnsi="宋体" w:eastAsia="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RhZmMwZjdjNWJmYjg1MTRiMTkxYjA0ZjJkYTQ2ZmMifQ=="/>
  </w:docVars>
  <w:rsids>
    <w:rsidRoot w:val="00DE6E87"/>
    <w:rsid w:val="004A0187"/>
    <w:rsid w:val="00575AC5"/>
    <w:rsid w:val="007C56AA"/>
    <w:rsid w:val="00A32598"/>
    <w:rsid w:val="00BE07BD"/>
    <w:rsid w:val="00CF6642"/>
    <w:rsid w:val="00D15AA3"/>
    <w:rsid w:val="00DE6E87"/>
    <w:rsid w:val="032928CD"/>
    <w:rsid w:val="035A00D1"/>
    <w:rsid w:val="05DE0C83"/>
    <w:rsid w:val="0C2926B6"/>
    <w:rsid w:val="0CE53A5C"/>
    <w:rsid w:val="0F1E2C7E"/>
    <w:rsid w:val="10E02312"/>
    <w:rsid w:val="12D22C2E"/>
    <w:rsid w:val="15141B80"/>
    <w:rsid w:val="17E25C9D"/>
    <w:rsid w:val="1B9D61A5"/>
    <w:rsid w:val="1BAE624C"/>
    <w:rsid w:val="1DB51187"/>
    <w:rsid w:val="1DD90704"/>
    <w:rsid w:val="2304162B"/>
    <w:rsid w:val="2462191B"/>
    <w:rsid w:val="24D924D3"/>
    <w:rsid w:val="28354B48"/>
    <w:rsid w:val="28FD66ED"/>
    <w:rsid w:val="2AC0335C"/>
    <w:rsid w:val="2AF44463"/>
    <w:rsid w:val="2B2D438B"/>
    <w:rsid w:val="2C447C6A"/>
    <w:rsid w:val="32E12002"/>
    <w:rsid w:val="33B64D86"/>
    <w:rsid w:val="358B6F41"/>
    <w:rsid w:val="365C268B"/>
    <w:rsid w:val="38693D35"/>
    <w:rsid w:val="39324910"/>
    <w:rsid w:val="3B950659"/>
    <w:rsid w:val="3C6814F1"/>
    <w:rsid w:val="3D5E47CC"/>
    <w:rsid w:val="3D793D76"/>
    <w:rsid w:val="3D8D35FC"/>
    <w:rsid w:val="3DFA698A"/>
    <w:rsid w:val="3ED95409"/>
    <w:rsid w:val="412117A5"/>
    <w:rsid w:val="413A6392"/>
    <w:rsid w:val="41BC78D5"/>
    <w:rsid w:val="45637592"/>
    <w:rsid w:val="48C21B32"/>
    <w:rsid w:val="4A5968FF"/>
    <w:rsid w:val="4F62752E"/>
    <w:rsid w:val="50EC6257"/>
    <w:rsid w:val="52216AA6"/>
    <w:rsid w:val="56A723E1"/>
    <w:rsid w:val="57B7008C"/>
    <w:rsid w:val="596A0EE1"/>
    <w:rsid w:val="59770C60"/>
    <w:rsid w:val="5B726779"/>
    <w:rsid w:val="5C4C377E"/>
    <w:rsid w:val="5F526256"/>
    <w:rsid w:val="60987FCA"/>
    <w:rsid w:val="612C6885"/>
    <w:rsid w:val="617C3F9C"/>
    <w:rsid w:val="61C26C35"/>
    <w:rsid w:val="61CD6413"/>
    <w:rsid w:val="63D3537B"/>
    <w:rsid w:val="64BB33A8"/>
    <w:rsid w:val="66A72659"/>
    <w:rsid w:val="676B3BCF"/>
    <w:rsid w:val="69E12C05"/>
    <w:rsid w:val="6AC63268"/>
    <w:rsid w:val="788D7EA7"/>
    <w:rsid w:val="79084BDC"/>
    <w:rsid w:val="7A69432C"/>
    <w:rsid w:val="7B2D3096"/>
    <w:rsid w:val="7BF5023D"/>
    <w:rsid w:val="7C5D78A3"/>
    <w:rsid w:val="7EF432A0"/>
    <w:rsid w:val="7F0F274D"/>
    <w:rsid w:val="7F3D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next w:val="1"/>
    <w:unhideWhenUsed/>
    <w:qFormat/>
    <w:uiPriority w:val="9"/>
    <w:pPr>
      <w:keepNext/>
      <w:keepLines/>
      <w:widowControl w:val="0"/>
      <w:spacing w:before="240" w:after="64" w:line="320" w:lineRule="auto"/>
      <w:jc w:val="both"/>
      <w:outlineLvl w:val="5"/>
    </w:pPr>
    <w:rPr>
      <w:rFonts w:ascii="Arial" w:hAnsi="Arial" w:eastAsia="黑体" w:cs="Times New Roman"/>
      <w:b/>
      <w:bCs/>
      <w:kern w:val="2"/>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Default"/>
    <w:basedOn w:val="1"/>
    <w:qFormat/>
    <w:uiPriority w:val="0"/>
    <w:pPr>
      <w:autoSpaceDE w:val="0"/>
      <w:autoSpaceDN w:val="0"/>
      <w:adjustRightInd w:val="0"/>
      <w:jc w:val="left"/>
    </w:pPr>
    <w:rPr>
      <w:rFonts w:cs="Times New Roman"/>
      <w:color w:val="000000"/>
      <w:sz w:val="24"/>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paragraph" w:styleId="13">
    <w:name w:val="No Spacing"/>
    <w:qFormat/>
    <w:uiPriority w:val="1"/>
    <w:pPr>
      <w:widowControl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672</Words>
  <Characters>730</Characters>
  <Lines>8</Lines>
  <Paragraphs>2</Paragraphs>
  <TotalTime>0</TotalTime>
  <ScaleCrop>false</ScaleCrop>
  <LinksUpToDate>false</LinksUpToDate>
  <CharactersWithSpaces>781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2021-01-01T12:05:00Z</dcterms:created>
  <dc:creator>nyk1</dc:creator>
  <cp:lastModifiedBy>Administrator</cp:lastModifiedBy>
  <cp:lastPrinted>2021-01-01T12:19:00Z</cp:lastPrinted>
  <dcterms:modified xsi:type="dcterms:W3CDTF">2025-08-01T02:25:35Z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22EDCC55CE084E50A564E9C3EB7167D8</vt:lpwstr>
  </property>
</Properties>
</file>